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CBE" w14:textId="2B94D3B4" w:rsidR="00831C93" w:rsidRPr="00D34982" w:rsidRDefault="005B000C" w:rsidP="00E96866">
      <w:pPr>
        <w:jc w:val="center"/>
        <w:rPr>
          <w:rFonts w:ascii="Times" w:hAnsi="Times"/>
          <w:b/>
          <w:bCs/>
        </w:rPr>
      </w:pPr>
      <w:bookmarkStart w:id="0" w:name="_Hlk131418858"/>
      <w:r w:rsidRPr="00D34982">
        <w:rPr>
          <w:rFonts w:ascii="Times" w:hAnsi="Times"/>
          <w:b/>
          <w:bCs/>
        </w:rPr>
        <w:t>PRÁVNE NÁROKY</w:t>
      </w:r>
    </w:p>
    <w:p w14:paraId="6C5DBC55" w14:textId="77777777" w:rsidR="00831C93" w:rsidRPr="00D34982" w:rsidRDefault="00831C9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2B96AC9B" w14:textId="6EC8B64C" w:rsidR="003247FB" w:rsidRDefault="009C70D2" w:rsidP="00BC5276">
      <w:pPr>
        <w:spacing w:after="0" w:line="240" w:lineRule="auto"/>
        <w:contextualSpacing/>
        <w:jc w:val="both"/>
        <w:rPr>
          <w:rFonts w:ascii="Times" w:hAnsi="Times"/>
        </w:rPr>
      </w:pPr>
      <w:bookmarkStart w:id="1" w:name="_Hlk131418920"/>
      <w:bookmarkEnd w:id="0"/>
      <w:r w:rsidRPr="00D34982">
        <w:rPr>
          <w:rFonts w:ascii="Times" w:hAnsi="Times" w:cs="Times New Roman"/>
          <w:b/>
          <w:bCs/>
          <w:u w:val="single"/>
        </w:rPr>
        <w:t>Účel</w:t>
      </w:r>
      <w:r w:rsidRPr="00D34982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  <w:r w:rsidR="00BC5276">
        <w:rPr>
          <w:rFonts w:ascii="Times" w:hAnsi="Times" w:cs="Times New Roman"/>
          <w:bCs/>
        </w:rPr>
        <w:t xml:space="preserve"> </w:t>
      </w:r>
      <w:r w:rsidR="00BC5276" w:rsidRPr="00BC5276">
        <w:rPr>
          <w:rFonts w:ascii="Times" w:hAnsi="Times"/>
        </w:rPr>
        <w:t>p</w:t>
      </w:r>
      <w:r w:rsidR="005B000C" w:rsidRPr="00BC5276">
        <w:rPr>
          <w:rFonts w:ascii="Times" w:hAnsi="Times"/>
        </w:rPr>
        <w:t>reukazovanie, uplatňovanie alebo obhajovanie právnych nárokov súdnou/mimosúdnou cestou a evidencie s tým spojené.</w:t>
      </w:r>
    </w:p>
    <w:p w14:paraId="036A3470" w14:textId="77777777" w:rsidR="00BC5276" w:rsidRPr="00BC5276" w:rsidRDefault="00BC5276" w:rsidP="00BC5276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</w:p>
    <w:p w14:paraId="5FEE718E" w14:textId="1F4924F5" w:rsidR="003247FB" w:rsidRPr="00BC5276" w:rsidRDefault="002C5B0A" w:rsidP="00BC5276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2" w:name="_Hlk131418926"/>
      <w:r w:rsidRPr="00D34982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D34982">
        <w:rPr>
          <w:rFonts w:ascii="Times" w:hAnsi="Times" w:cs="Times New Roman"/>
          <w:b/>
          <w:color w:val="000000" w:themeColor="text1"/>
        </w:rPr>
        <w:t>:</w:t>
      </w:r>
      <w:r w:rsidRPr="00D34982">
        <w:rPr>
          <w:rFonts w:ascii="Times" w:hAnsi="Times" w:cs="Times New Roman"/>
          <w:bCs/>
          <w:color w:val="000000" w:themeColor="text1"/>
        </w:rPr>
        <w:t xml:space="preserve"> </w:t>
      </w:r>
      <w:bookmarkStart w:id="3" w:name="_Hlk131418934"/>
      <w:bookmarkEnd w:id="2"/>
      <w:r w:rsidR="00BC5276" w:rsidRPr="00BC5276">
        <w:rPr>
          <w:rFonts w:ascii="Times" w:hAnsi="Times"/>
        </w:rPr>
        <w:t>r</w:t>
      </w:r>
      <w:r w:rsidR="005B000C" w:rsidRPr="00BC5276">
        <w:rPr>
          <w:rFonts w:ascii="Times" w:hAnsi="Times"/>
        </w:rPr>
        <w:t xml:space="preserve">elevantné fyzické osoby </w:t>
      </w:r>
      <w:r w:rsidR="005A4512">
        <w:rPr>
          <w:rFonts w:ascii="Times" w:hAnsi="Times"/>
        </w:rPr>
        <w:t xml:space="preserve">– </w:t>
      </w:r>
      <w:r w:rsidR="005B000C" w:rsidRPr="00BC5276">
        <w:rPr>
          <w:rFonts w:ascii="Times" w:hAnsi="Times"/>
        </w:rPr>
        <w:t>účastníci konania, zúčastnené osoby, svedkovia.</w:t>
      </w:r>
    </w:p>
    <w:p w14:paraId="1887C440" w14:textId="77777777" w:rsidR="005B000C" w:rsidRPr="00D34982" w:rsidRDefault="005B000C" w:rsidP="007C4B5A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57AFC7CB" w14:textId="3939B208" w:rsidR="00C05618" w:rsidRPr="00BC5276" w:rsidRDefault="00C05618" w:rsidP="007C4B5A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D34982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D34982">
        <w:rPr>
          <w:rFonts w:ascii="Times" w:hAnsi="Times" w:cs="Times New Roman"/>
          <w:b/>
          <w:bCs/>
          <w:sz w:val="22"/>
          <w:szCs w:val="22"/>
        </w:rPr>
        <w:t>:</w:t>
      </w:r>
      <w:bookmarkEnd w:id="3"/>
      <w:r w:rsidR="00BC5276">
        <w:rPr>
          <w:rFonts w:ascii="Times" w:hAnsi="Times" w:cs="Times New Roman"/>
          <w:b/>
          <w:bCs/>
          <w:sz w:val="22"/>
          <w:szCs w:val="22"/>
        </w:rPr>
        <w:t xml:space="preserve"> </w:t>
      </w:r>
      <w:r w:rsidR="00BC5276">
        <w:rPr>
          <w:rFonts w:ascii="Times" w:hAnsi="Times" w:cs="Times New Roman"/>
          <w:sz w:val="22"/>
          <w:szCs w:val="22"/>
        </w:rPr>
        <w:t>b</w:t>
      </w:r>
      <w:r w:rsidRPr="00D34982">
        <w:rPr>
          <w:rFonts w:ascii="Times" w:hAnsi="Times" w:cs="Times New Roman"/>
          <w:sz w:val="22"/>
          <w:szCs w:val="22"/>
        </w:rPr>
        <w:t>ežné osobné údaje</w:t>
      </w:r>
      <w:r w:rsidR="009E6188" w:rsidRPr="00D34982">
        <w:rPr>
          <w:rFonts w:ascii="Times" w:hAnsi="Times" w:cs="Times New Roman"/>
          <w:sz w:val="22"/>
          <w:szCs w:val="22"/>
        </w:rPr>
        <w:t>.</w:t>
      </w:r>
      <w:r w:rsidRPr="00D34982">
        <w:rPr>
          <w:rFonts w:ascii="Times" w:hAnsi="Times" w:cs="Times New Roman"/>
          <w:sz w:val="22"/>
          <w:szCs w:val="22"/>
        </w:rPr>
        <w:t xml:space="preserve"> </w:t>
      </w:r>
    </w:p>
    <w:p w14:paraId="75E56AF2" w14:textId="126450C6" w:rsidR="005B000C" w:rsidRPr="00BC5276" w:rsidRDefault="00C05618" w:rsidP="00BC5276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4" w:name="_Hlk131418943"/>
      <w:r w:rsidRPr="00D34982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D34982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  <w:r w:rsidR="00BC5276">
        <w:rPr>
          <w:rFonts w:ascii="Times" w:hAnsi="Times" w:cs="Times New Roman"/>
          <w:bCs/>
          <w:color w:val="000000" w:themeColor="text1"/>
        </w:rPr>
        <w:t>m</w:t>
      </w:r>
      <w:r w:rsidR="005B000C" w:rsidRPr="00D34982">
        <w:rPr>
          <w:rFonts w:ascii="Times" w:hAnsi="Times"/>
        </w:rPr>
        <w:t>eno, priezvisko a adresa pobytu, adresa na doručovanie v elektronickej forme, podpis, ďalšie osobné údaje zistené alebo poskytnuté v priebehu vybavovania súdnych sporov.</w:t>
      </w:r>
    </w:p>
    <w:p w14:paraId="4E804BF7" w14:textId="77777777" w:rsidR="005B000C" w:rsidRPr="00D34982" w:rsidRDefault="005B000C" w:rsidP="007C4B5A">
      <w:pPr>
        <w:spacing w:after="0"/>
        <w:jc w:val="both"/>
        <w:rPr>
          <w:rFonts w:ascii="Times" w:hAnsi="Times"/>
        </w:rPr>
      </w:pPr>
    </w:p>
    <w:p w14:paraId="1E94E4E4" w14:textId="6D15A975" w:rsidR="005B000C" w:rsidRPr="00BC5276" w:rsidRDefault="005F1E04" w:rsidP="00BC5276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D34982">
        <w:rPr>
          <w:rFonts w:ascii="Times" w:hAnsi="Times" w:cs="Times New Roman"/>
          <w:b/>
          <w:bCs/>
          <w:u w:val="single"/>
        </w:rPr>
        <w:t>Z</w:t>
      </w:r>
      <w:r w:rsidR="009C70D2" w:rsidRPr="00D34982">
        <w:rPr>
          <w:rFonts w:ascii="Times" w:hAnsi="Times" w:cs="Times New Roman"/>
          <w:b/>
          <w:bCs/>
          <w:u w:val="single"/>
        </w:rPr>
        <w:t>á</w:t>
      </w:r>
      <w:r w:rsidRPr="00D34982">
        <w:rPr>
          <w:rFonts w:ascii="Times" w:hAnsi="Times" w:cs="Times New Roman"/>
          <w:b/>
          <w:bCs/>
          <w:u w:val="single"/>
        </w:rPr>
        <w:t>konnos</w:t>
      </w:r>
      <w:r w:rsidR="009C70D2" w:rsidRPr="00D34982">
        <w:rPr>
          <w:rFonts w:ascii="Times" w:hAnsi="Times" w:cs="Times New Roman"/>
          <w:b/>
          <w:bCs/>
          <w:u w:val="single"/>
        </w:rPr>
        <w:t xml:space="preserve">ť </w:t>
      </w:r>
      <w:r w:rsidRPr="00D34982">
        <w:rPr>
          <w:rFonts w:ascii="Times" w:hAnsi="Times" w:cs="Times New Roman"/>
          <w:b/>
          <w:bCs/>
          <w:u w:val="single"/>
        </w:rPr>
        <w:t>spracúvania osobných údajov:</w:t>
      </w:r>
      <w:bookmarkStart w:id="6" w:name="_Hlk131418963"/>
      <w:bookmarkEnd w:id="5"/>
      <w:r w:rsidR="00BC5276">
        <w:rPr>
          <w:rFonts w:ascii="Times" w:hAnsi="Times" w:cs="Times New Roman"/>
        </w:rPr>
        <w:t xml:space="preserve"> č</w:t>
      </w:r>
      <w:r w:rsidR="005B000C" w:rsidRPr="00D34982">
        <w:rPr>
          <w:rFonts w:ascii="Times" w:hAnsi="Times"/>
        </w:rPr>
        <w:t xml:space="preserve">l. 6 ods. 1 písm. f) </w:t>
      </w:r>
      <w:r w:rsidR="007C4B5A" w:rsidRPr="00D34982">
        <w:rPr>
          <w:rFonts w:ascii="Times" w:hAnsi="Times"/>
        </w:rPr>
        <w:t>–</w:t>
      </w:r>
      <w:r w:rsidR="005B000C" w:rsidRPr="00D34982">
        <w:rPr>
          <w:rFonts w:ascii="Times" w:hAnsi="Times"/>
        </w:rPr>
        <w:t xml:space="preserve">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0013D50C" w14:textId="77777777" w:rsidR="005B000C" w:rsidRPr="00D34982" w:rsidRDefault="005B000C" w:rsidP="007C4B5A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</w:p>
    <w:p w14:paraId="1D9419DA" w14:textId="74B3485D" w:rsidR="005B000C" w:rsidRPr="00D34982" w:rsidRDefault="005B000C" w:rsidP="007C4B5A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bookmarkStart w:id="7" w:name="_Hlk131418971"/>
      <w:bookmarkEnd w:id="6"/>
      <w:r w:rsidRPr="00D34982">
        <w:rPr>
          <w:rFonts w:ascii="Times" w:hAnsi="Times"/>
          <w:b/>
          <w:bCs/>
          <w:sz w:val="22"/>
          <w:szCs w:val="22"/>
          <w:u w:val="single"/>
        </w:rPr>
        <w:t>Zákonná povi</w:t>
      </w:r>
      <w:r w:rsidR="007C4B5A" w:rsidRPr="00D34982">
        <w:rPr>
          <w:rFonts w:ascii="Times" w:hAnsi="Times"/>
          <w:b/>
          <w:bCs/>
          <w:sz w:val="22"/>
          <w:szCs w:val="22"/>
          <w:u w:val="single"/>
        </w:rPr>
        <w:t>nnosť</w:t>
      </w:r>
      <w:r w:rsidRPr="00D34982">
        <w:rPr>
          <w:rFonts w:ascii="Times" w:hAnsi="Times"/>
          <w:b/>
          <w:bCs/>
          <w:sz w:val="22"/>
          <w:szCs w:val="22"/>
          <w:u w:val="single"/>
        </w:rPr>
        <w:t xml:space="preserve"> spracúvania osobných údajov:</w:t>
      </w:r>
      <w:r w:rsidRPr="00D34982">
        <w:rPr>
          <w:rFonts w:ascii="Times" w:hAnsi="Times"/>
          <w:b/>
          <w:bCs/>
          <w:sz w:val="22"/>
          <w:szCs w:val="22"/>
        </w:rPr>
        <w:t xml:space="preserve"> </w:t>
      </w:r>
      <w:r w:rsidRPr="00D34982">
        <w:rPr>
          <w:rFonts w:ascii="Times" w:hAnsi="Times"/>
          <w:sz w:val="22"/>
          <w:szCs w:val="22"/>
        </w:rPr>
        <w:t>sprac</w:t>
      </w:r>
      <w:r w:rsidR="007C4B5A" w:rsidRPr="00D34982">
        <w:rPr>
          <w:rFonts w:ascii="Times" w:hAnsi="Times"/>
          <w:sz w:val="22"/>
          <w:szCs w:val="22"/>
        </w:rPr>
        <w:t>ú</w:t>
      </w:r>
      <w:r w:rsidRPr="00D34982">
        <w:rPr>
          <w:rFonts w:ascii="Times" w:hAnsi="Times"/>
          <w:sz w:val="22"/>
          <w:szCs w:val="22"/>
        </w:rPr>
        <w:t>vanie osobn</w:t>
      </w:r>
      <w:r w:rsidR="007C4B5A" w:rsidRPr="00D34982">
        <w:rPr>
          <w:rFonts w:ascii="Times" w:hAnsi="Times"/>
          <w:sz w:val="22"/>
          <w:szCs w:val="22"/>
        </w:rPr>
        <w:t>ý</w:t>
      </w:r>
      <w:r w:rsidRPr="00D34982">
        <w:rPr>
          <w:rFonts w:ascii="Times" w:hAnsi="Times"/>
          <w:sz w:val="22"/>
          <w:szCs w:val="22"/>
        </w:rPr>
        <w:t xml:space="preserve">ch </w:t>
      </w:r>
      <w:r w:rsidR="007C4B5A" w:rsidRPr="00D34982">
        <w:rPr>
          <w:rFonts w:ascii="Times" w:hAnsi="Times"/>
          <w:sz w:val="22"/>
          <w:szCs w:val="22"/>
        </w:rPr>
        <w:t>ú</w:t>
      </w:r>
      <w:r w:rsidRPr="00D34982">
        <w:rPr>
          <w:rFonts w:ascii="Times" w:hAnsi="Times"/>
          <w:sz w:val="22"/>
          <w:szCs w:val="22"/>
        </w:rPr>
        <w:t>dajov na z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>klade osobit</w:t>
      </w:r>
      <w:r w:rsidR="007C4B5A" w:rsidRPr="00D34982">
        <w:rPr>
          <w:rFonts w:ascii="Times" w:hAnsi="Times"/>
          <w:sz w:val="22"/>
          <w:szCs w:val="22"/>
        </w:rPr>
        <w:t>né</w:t>
      </w:r>
      <w:r w:rsidRPr="00D34982">
        <w:rPr>
          <w:rFonts w:ascii="Times" w:hAnsi="Times"/>
          <w:sz w:val="22"/>
          <w:szCs w:val="22"/>
        </w:rPr>
        <w:t>ho pr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>vneho predpisu sa nevykon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 xml:space="preserve">va. </w:t>
      </w:r>
    </w:p>
    <w:p w14:paraId="32024A3A" w14:textId="77777777" w:rsidR="003247FB" w:rsidRPr="00D34982" w:rsidRDefault="003247FB" w:rsidP="007C4B5A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38B01864" w14:textId="49072424" w:rsidR="00BF2D21" w:rsidRPr="00D34982" w:rsidRDefault="003C4333" w:rsidP="007C4B5A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D34982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</w:t>
      </w:r>
      <w:bookmarkEnd w:id="7"/>
      <w:r w:rsidR="00294C0F" w:rsidRPr="00D34982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D69605C" w14:textId="7312EE3A" w:rsidR="008031BE" w:rsidRPr="00D34982" w:rsidRDefault="008031BE">
      <w:pPr>
        <w:pStyle w:val="Odsekzoznamu"/>
        <w:numPr>
          <w:ilvl w:val="0"/>
          <w:numId w:val="2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D34982">
        <w:rPr>
          <w:rFonts w:ascii="Times" w:hAnsi="Times" w:cs="Times New Roman"/>
          <w:color w:val="000000" w:themeColor="text1"/>
        </w:rPr>
        <w:t>p</w:t>
      </w:r>
      <w:r w:rsidRPr="00D34982">
        <w:rPr>
          <w:rFonts w:ascii="Times" w:hAnsi="Times" w:cs="Times New Roman"/>
        </w:rPr>
        <w:t xml:space="preserve">oskytovateľ </w:t>
      </w:r>
      <w:r w:rsidR="009E6188" w:rsidRPr="00D34982">
        <w:rPr>
          <w:rFonts w:ascii="Times" w:hAnsi="Times" w:cs="Times New Roman"/>
        </w:rPr>
        <w:t>telefónnych služieb</w:t>
      </w:r>
      <w:r w:rsidR="00BC5276">
        <w:rPr>
          <w:rFonts w:ascii="Times" w:hAnsi="Times" w:cs="Times New Roman"/>
        </w:rPr>
        <w:t>,</w:t>
      </w:r>
    </w:p>
    <w:p w14:paraId="3F13A343" w14:textId="384A29AC" w:rsidR="008031BE" w:rsidRPr="00D34982" w:rsidRDefault="00413113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D34982">
        <w:rPr>
          <w:rFonts w:ascii="Times" w:hAnsi="Times" w:cs="Times New Roman"/>
        </w:rPr>
        <w:t>p</w:t>
      </w:r>
      <w:r w:rsidR="008031BE" w:rsidRPr="00D34982">
        <w:rPr>
          <w:rFonts w:ascii="Times" w:hAnsi="Times" w:cs="Times New Roman"/>
        </w:rPr>
        <w:t>oskytovateľ dátových služieb</w:t>
      </w:r>
      <w:r w:rsidR="00BC5276">
        <w:rPr>
          <w:rFonts w:ascii="Times" w:hAnsi="Times" w:cs="Times New Roman"/>
        </w:rPr>
        <w:t>,</w:t>
      </w:r>
    </w:p>
    <w:p w14:paraId="5D5F3370" w14:textId="102D760B" w:rsidR="00D34982" w:rsidRPr="00D34982" w:rsidRDefault="00D34982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>
        <w:rPr>
          <w:rFonts w:ascii="Times" w:hAnsi="Times" w:cs="Times New Roman"/>
        </w:rPr>
        <w:t>poskytovateľ platformy pre e-mailovú komunikáciu</w:t>
      </w:r>
      <w:r w:rsidR="00BC5276">
        <w:rPr>
          <w:rFonts w:ascii="Times" w:hAnsi="Times" w:cs="Times New Roman"/>
        </w:rPr>
        <w:t>.</w:t>
      </w:r>
    </w:p>
    <w:p w14:paraId="174A56BB" w14:textId="77777777" w:rsidR="003247FB" w:rsidRPr="00D34982" w:rsidRDefault="003247FB" w:rsidP="007C4B5A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6D4B38B3" w14:textId="77777777" w:rsidR="005A4512" w:rsidRDefault="005A4512" w:rsidP="005A4512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8" w:name="_Hlk131418985"/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79CB13EC" w14:textId="77777777" w:rsidR="005A4512" w:rsidRDefault="005A4512" w:rsidP="005A4512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7AC2C1AC" w14:textId="77777777" w:rsidR="005A4512" w:rsidRDefault="005A4512" w:rsidP="007C4B5A">
      <w:pPr>
        <w:spacing w:after="0"/>
        <w:jc w:val="both"/>
        <w:rPr>
          <w:rFonts w:ascii="Times" w:hAnsi="Times" w:cs="Times New Roman"/>
          <w:b/>
          <w:u w:val="single"/>
        </w:rPr>
      </w:pPr>
    </w:p>
    <w:p w14:paraId="75D12BB3" w14:textId="70AB6807" w:rsidR="00831C93" w:rsidRPr="00BC5276" w:rsidRDefault="00DE02DC" w:rsidP="007C4B5A">
      <w:pPr>
        <w:spacing w:after="0"/>
        <w:jc w:val="both"/>
        <w:rPr>
          <w:rFonts w:ascii="Times" w:hAnsi="Times" w:cs="Times New Roman"/>
          <w:b/>
          <w:u w:val="single"/>
        </w:rPr>
      </w:pPr>
      <w:r w:rsidRPr="00D34982">
        <w:rPr>
          <w:rFonts w:ascii="Times" w:hAnsi="Times" w:cs="Times New Roman"/>
          <w:b/>
          <w:u w:val="single"/>
        </w:rPr>
        <w:t xml:space="preserve">- do tretích </w:t>
      </w:r>
      <w:r w:rsidRPr="00BC5276">
        <w:rPr>
          <w:rFonts w:ascii="Times" w:hAnsi="Times" w:cs="Times New Roman"/>
          <w:bCs/>
        </w:rPr>
        <w:t>krajín</w:t>
      </w:r>
      <w:bookmarkEnd w:id="8"/>
      <w:r w:rsidR="00BC5276">
        <w:rPr>
          <w:rFonts w:ascii="Times" w:hAnsi="Times" w:cs="Times New Roman"/>
          <w:bCs/>
        </w:rPr>
        <w:t xml:space="preserve">: </w:t>
      </w:r>
      <w:r w:rsidRPr="00BC5276">
        <w:rPr>
          <w:rFonts w:ascii="Times" w:hAnsi="Times" w:cs="Times New Roman"/>
          <w:bCs/>
        </w:rPr>
        <w:t>osobné</w:t>
      </w:r>
      <w:r w:rsidRPr="00D34982">
        <w:rPr>
          <w:rFonts w:ascii="Times" w:hAnsi="Times" w:cs="Times New Roman"/>
        </w:rPr>
        <w:t xml:space="preserve"> údaje sa do tretích krajín neposkytujú</w:t>
      </w:r>
      <w:bookmarkStart w:id="9" w:name="_Hlk131418992"/>
      <w:r w:rsidR="00BC5276">
        <w:rPr>
          <w:rFonts w:ascii="Times" w:hAnsi="Times" w:cs="Times New Roman"/>
        </w:rPr>
        <w:t>,</w:t>
      </w:r>
    </w:p>
    <w:p w14:paraId="15BFF240" w14:textId="037B845E" w:rsidR="00DE02DC" w:rsidRPr="00D34982" w:rsidRDefault="00DE02DC" w:rsidP="007C4B5A">
      <w:pPr>
        <w:spacing w:line="240" w:lineRule="auto"/>
        <w:contextualSpacing/>
        <w:jc w:val="both"/>
        <w:rPr>
          <w:rFonts w:ascii="Times" w:hAnsi="Times" w:cs="Times New Roman"/>
        </w:rPr>
      </w:pPr>
      <w:r w:rsidRPr="00D34982">
        <w:rPr>
          <w:rFonts w:ascii="Times" w:hAnsi="Times" w:cs="Times New Roman"/>
          <w:b/>
          <w:u w:val="single"/>
        </w:rPr>
        <w:t>- do medzinárodných organizácií</w:t>
      </w:r>
      <w:r w:rsidR="009E6188" w:rsidRPr="00D34982">
        <w:rPr>
          <w:rFonts w:ascii="Times" w:hAnsi="Times" w:cs="Times New Roman"/>
          <w:b/>
          <w:u w:val="single"/>
        </w:rPr>
        <w:t>:</w:t>
      </w:r>
      <w:bookmarkEnd w:id="9"/>
      <w:r w:rsidR="009E6188" w:rsidRPr="00D34982">
        <w:rPr>
          <w:rFonts w:ascii="Times" w:hAnsi="Times" w:cs="Times New Roman"/>
        </w:rPr>
        <w:t xml:space="preserve"> </w:t>
      </w:r>
      <w:r w:rsidRPr="00D34982">
        <w:rPr>
          <w:rFonts w:ascii="Times" w:hAnsi="Times" w:cs="Times New Roman"/>
        </w:rPr>
        <w:t>osobné údaje sa do medzinárodných organizácií neposkytujú</w:t>
      </w:r>
      <w:r w:rsidR="00BC5276">
        <w:rPr>
          <w:rFonts w:ascii="Times" w:hAnsi="Times" w:cs="Times New Roman"/>
        </w:rPr>
        <w:t>.</w:t>
      </w:r>
    </w:p>
    <w:p w14:paraId="7FBD3193" w14:textId="77777777" w:rsidR="00DE02DC" w:rsidRPr="00D34982" w:rsidRDefault="00DE02DC" w:rsidP="007C4B5A">
      <w:pPr>
        <w:spacing w:after="0"/>
        <w:jc w:val="both"/>
        <w:rPr>
          <w:rFonts w:ascii="Times" w:hAnsi="Times" w:cs="Times New Roman"/>
        </w:rPr>
      </w:pPr>
    </w:p>
    <w:p w14:paraId="08A24848" w14:textId="38048266" w:rsidR="000C4829" w:rsidRPr="00D34982" w:rsidRDefault="00DE02DC" w:rsidP="007C4B5A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97"/>
      <w:r w:rsidRPr="00D34982">
        <w:rPr>
          <w:rFonts w:ascii="Times" w:hAnsi="Times" w:cs="Times New Roman"/>
          <w:b/>
          <w:u w:val="single"/>
        </w:rPr>
        <w:t>Zverejňovanie osobných údajov:</w:t>
      </w:r>
      <w:bookmarkEnd w:id="10"/>
      <w:r w:rsidR="00BC5276">
        <w:rPr>
          <w:rFonts w:ascii="Times" w:hAnsi="Times" w:cs="Times New Roman"/>
          <w:bCs/>
        </w:rPr>
        <w:t xml:space="preserve"> </w:t>
      </w:r>
      <w:r w:rsidRPr="00D34982">
        <w:rPr>
          <w:rFonts w:ascii="Times" w:hAnsi="Times" w:cs="Times New Roman"/>
        </w:rPr>
        <w:t>osobné údaje sa nezverejňujú</w:t>
      </w:r>
    </w:p>
    <w:p w14:paraId="3AFC2660" w14:textId="77777777" w:rsidR="00052A14" w:rsidRPr="00D34982" w:rsidRDefault="00052A14" w:rsidP="007C4B5A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2772D74" w14:textId="00643DA3" w:rsidR="00413113" w:rsidRDefault="00DE02DC" w:rsidP="00BC5276">
      <w:pPr>
        <w:spacing w:after="0"/>
        <w:jc w:val="both"/>
        <w:rPr>
          <w:rFonts w:ascii="Times" w:hAnsi="Times" w:cs="Times New Roman"/>
        </w:rPr>
      </w:pPr>
      <w:bookmarkStart w:id="11" w:name="_Hlk131419010"/>
      <w:r w:rsidRPr="00D34982">
        <w:rPr>
          <w:rFonts w:ascii="Times" w:hAnsi="Times" w:cs="Times New Roman"/>
          <w:b/>
          <w:bCs/>
          <w:u w:val="single"/>
        </w:rPr>
        <w:t>Oprávnený záujem Prev</w:t>
      </w:r>
      <w:r w:rsidR="00E9271A" w:rsidRPr="00D34982">
        <w:rPr>
          <w:rFonts w:ascii="Times" w:hAnsi="Times" w:cs="Times New Roman"/>
          <w:b/>
          <w:bCs/>
          <w:u w:val="single"/>
        </w:rPr>
        <w:t>á</w:t>
      </w:r>
      <w:r w:rsidRPr="00D34982">
        <w:rPr>
          <w:rFonts w:ascii="Times" w:hAnsi="Times" w:cs="Times New Roman"/>
          <w:b/>
          <w:bCs/>
          <w:u w:val="single"/>
        </w:rPr>
        <w:t>dzkovate</w:t>
      </w:r>
      <w:r w:rsidR="00E9271A" w:rsidRPr="00D34982">
        <w:rPr>
          <w:rFonts w:ascii="Times" w:hAnsi="Times" w:cs="Times New Roman"/>
          <w:b/>
          <w:bCs/>
          <w:u w:val="single"/>
        </w:rPr>
        <w:t>ľ</w:t>
      </w:r>
      <w:r w:rsidRPr="00D34982">
        <w:rPr>
          <w:rFonts w:ascii="Times" w:hAnsi="Times" w:cs="Times New Roman"/>
          <w:b/>
          <w:bCs/>
          <w:u w:val="single"/>
        </w:rPr>
        <w:t>a:</w:t>
      </w:r>
      <w:bookmarkEnd w:id="11"/>
      <w:r w:rsidR="00BC5276">
        <w:rPr>
          <w:rFonts w:ascii="Times" w:hAnsi="Times" w:cs="Times New Roman"/>
        </w:rPr>
        <w:t xml:space="preserve"> s</w:t>
      </w:r>
      <w:r w:rsidR="00413113" w:rsidRPr="00D34982">
        <w:rPr>
          <w:rFonts w:ascii="Times" w:hAnsi="Times" w:cs="Times New Roman"/>
        </w:rPr>
        <w:t>pracúvanie osobných údajov za účelom oprávnených záujmov Prevádzkovateľa sa nevykonáva</w:t>
      </w:r>
      <w:bookmarkStart w:id="12" w:name="_Hlk131419016"/>
      <w:r w:rsidR="009E6188" w:rsidRPr="00D34982">
        <w:rPr>
          <w:rFonts w:ascii="Times" w:hAnsi="Times" w:cs="Times New Roman"/>
        </w:rPr>
        <w:t>.</w:t>
      </w:r>
    </w:p>
    <w:p w14:paraId="4B9FAE4E" w14:textId="77777777" w:rsidR="00BC5276" w:rsidRPr="00D34982" w:rsidRDefault="00BC5276" w:rsidP="00BC5276">
      <w:pPr>
        <w:spacing w:after="0"/>
        <w:jc w:val="both"/>
        <w:rPr>
          <w:rFonts w:ascii="Times" w:hAnsi="Times" w:cs="Times New Roman"/>
        </w:rPr>
      </w:pPr>
    </w:p>
    <w:p w14:paraId="1740EB2A" w14:textId="48297C1C" w:rsidR="009E6188" w:rsidRDefault="003C4333" w:rsidP="007C4B5A">
      <w:pPr>
        <w:spacing w:after="0"/>
        <w:jc w:val="both"/>
        <w:rPr>
          <w:rFonts w:ascii="Times" w:hAnsi="Times" w:cs="Times New Roman"/>
        </w:rPr>
      </w:pPr>
      <w:r w:rsidRPr="00D34982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2"/>
      <w:r w:rsidR="009E6188" w:rsidRPr="00D34982">
        <w:rPr>
          <w:rFonts w:ascii="Times" w:eastAsia="Times New Roman" w:hAnsi="Times" w:cs="Times New Roman"/>
          <w:lang w:eastAsia="zh-CN"/>
        </w:rPr>
        <w:t xml:space="preserve"> </w:t>
      </w:r>
      <w:r w:rsidR="008F3F3A" w:rsidRPr="00D34982">
        <w:rPr>
          <w:rFonts w:ascii="Times" w:eastAsia="Times New Roman" w:hAnsi="Times" w:cs="Times New Roman"/>
          <w:lang w:eastAsia="zh-CN"/>
        </w:rPr>
        <w:t xml:space="preserve">osobné </w:t>
      </w:r>
      <w:r w:rsidR="008F3F3A" w:rsidRPr="00D34982">
        <w:rPr>
          <w:rFonts w:ascii="Times" w:hAnsi="Times" w:cs="Times New Roman"/>
        </w:rPr>
        <w:t>ú</w:t>
      </w:r>
      <w:r w:rsidR="003247FB" w:rsidRPr="00D34982">
        <w:rPr>
          <w:rFonts w:ascii="Times" w:hAnsi="Times" w:cs="Times New Roman"/>
        </w:rPr>
        <w:t xml:space="preserve">daje </w:t>
      </w:r>
      <w:r w:rsidR="005B000C" w:rsidRPr="00D34982">
        <w:rPr>
          <w:rFonts w:ascii="Times" w:hAnsi="Times" w:cs="Times New Roman"/>
        </w:rPr>
        <w:t xml:space="preserve">sa uchovávajú do naplnenia účelu. </w:t>
      </w:r>
    </w:p>
    <w:p w14:paraId="62B4F132" w14:textId="77777777" w:rsidR="00D34982" w:rsidRPr="00D34982" w:rsidRDefault="00D34982" w:rsidP="007C4B5A">
      <w:pPr>
        <w:spacing w:after="0"/>
        <w:jc w:val="both"/>
        <w:rPr>
          <w:rFonts w:ascii="Times" w:eastAsia="Times New Roman" w:hAnsi="Times" w:cs="Times New Roman"/>
          <w:lang w:eastAsia="zh-CN"/>
        </w:rPr>
      </w:pPr>
    </w:p>
    <w:p w14:paraId="7058C0B0" w14:textId="77777777" w:rsidR="002C3E46" w:rsidRPr="00D34982" w:rsidRDefault="002C3E46" w:rsidP="007C4B5A">
      <w:pPr>
        <w:spacing w:after="0"/>
        <w:jc w:val="both"/>
        <w:rPr>
          <w:rFonts w:ascii="Times" w:hAnsi="Times"/>
          <w:b/>
          <w:bCs/>
          <w:u w:val="single"/>
        </w:rPr>
      </w:pPr>
      <w:bookmarkStart w:id="13" w:name="_Hlk141261540"/>
      <w:r w:rsidRPr="00D34982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17E509E4" w14:textId="77777777" w:rsidR="002C3E46" w:rsidRPr="00D34982" w:rsidRDefault="002C3E46" w:rsidP="007C4B5A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4" w:name="_Hlk141262787"/>
      <w:bookmarkEnd w:id="13"/>
      <w:r w:rsidRPr="00D34982">
        <w:rPr>
          <w:rFonts w:ascii="Times" w:hAnsi="Times"/>
        </w:rPr>
        <w:t xml:space="preserve">Poskytovanie osobných údajov je zmluvná a zároveň zákonná požiadavka. </w:t>
      </w:r>
      <w:bookmarkEnd w:id="14"/>
      <w:r w:rsidRPr="00D34982">
        <w:rPr>
          <w:rFonts w:ascii="Times" w:hAnsi="Times"/>
        </w:rPr>
        <w:t xml:space="preserve">Dotknutá osoba je povinná poskytnúť osobné údaje. </w:t>
      </w:r>
      <w:r w:rsidRPr="00D34982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1DAE80D8" w14:textId="77777777" w:rsidR="00703DF7" w:rsidRPr="00D34982" w:rsidRDefault="00703DF7" w:rsidP="007C4B5A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</w:p>
    <w:p w14:paraId="50295165" w14:textId="77777777" w:rsidR="00D11A29" w:rsidRPr="00F0236A" w:rsidRDefault="00D11A29" w:rsidP="00D11A29">
      <w:pPr>
        <w:contextualSpacing/>
        <w:jc w:val="both"/>
        <w:rPr>
          <w:rFonts w:ascii="Times" w:eastAsia="Times New Roman" w:hAnsi="Times"/>
          <w:lang w:eastAsia="sk-SK"/>
        </w:rPr>
      </w:pPr>
      <w:r w:rsidRPr="00F0236A">
        <w:rPr>
          <w:rFonts w:ascii="Times" w:eastAsia="Times New Roman" w:hAnsi="Times"/>
          <w:b/>
          <w:bCs/>
          <w:u w:val="single"/>
          <w:lang w:eastAsia="sk-SK"/>
        </w:rPr>
        <w:lastRenderedPageBreak/>
        <w:t>Prevádzkovateľ sa zaručuje</w:t>
      </w:r>
      <w:r w:rsidRPr="00F0236A">
        <w:rPr>
          <w:rFonts w:ascii="Times" w:eastAsia="Times New Roman" w:hAnsi="Times"/>
          <w:b/>
          <w:bCs/>
          <w:lang w:eastAsia="sk-SK"/>
        </w:rPr>
        <w:t>,</w:t>
      </w:r>
      <w:r w:rsidRPr="00F0236A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C247EF5" w14:textId="77777777" w:rsidR="00D11A29" w:rsidRPr="00F0236A" w:rsidRDefault="00D11A29" w:rsidP="00D11A29">
      <w:pPr>
        <w:contextualSpacing/>
        <w:jc w:val="both"/>
        <w:rPr>
          <w:rFonts w:ascii="Times" w:eastAsia="Times New Roman" w:hAnsi="Times"/>
          <w:lang w:eastAsia="sk-SK"/>
        </w:rPr>
      </w:pPr>
      <w:r w:rsidRPr="00F0236A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7F277316" w14:textId="77777777" w:rsidR="00D11A29" w:rsidRPr="00F0236A" w:rsidRDefault="00D11A29" w:rsidP="00D11A29">
      <w:pPr>
        <w:spacing w:after="0"/>
        <w:rPr>
          <w:rFonts w:ascii="Times" w:hAnsi="Times"/>
          <w:b/>
          <w:bCs/>
          <w:u w:val="single"/>
        </w:rPr>
      </w:pPr>
    </w:p>
    <w:p w14:paraId="27771D63" w14:textId="77777777" w:rsidR="00D11A29" w:rsidRDefault="00D11A29" w:rsidP="00D11A29">
      <w:pPr>
        <w:jc w:val="both"/>
        <w:rPr>
          <w:rFonts w:ascii="Times" w:hAnsi="Times"/>
        </w:rPr>
      </w:pPr>
      <w:r w:rsidRPr="00F0236A">
        <w:rPr>
          <w:rFonts w:ascii="Times" w:hAnsi="Times"/>
          <w:b/>
          <w:bCs/>
          <w:u w:val="single"/>
        </w:rPr>
        <w:t>Technické a organizačné bezpečnostné opatrenia:</w:t>
      </w:r>
      <w:r w:rsidRPr="00F0236A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F0236A">
        <w:rPr>
          <w:rFonts w:ascii="Times" w:hAnsi="Times"/>
        </w:rPr>
        <w:t>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FAF2553" w14:textId="77777777" w:rsidR="00D11A29" w:rsidRPr="003356D6" w:rsidRDefault="00D11A29" w:rsidP="00D11A29">
      <w:pPr>
        <w:spacing w:after="0"/>
        <w:rPr>
          <w:rFonts w:ascii="Times" w:hAnsi="Times"/>
          <w:b/>
          <w:bCs/>
          <w:u w:val="single"/>
        </w:rPr>
      </w:pPr>
      <w:r w:rsidRPr="00F0236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F0236A">
        <w:rPr>
          <w:rFonts w:ascii="Times" w:hAnsi="Times"/>
        </w:rPr>
        <w:t xml:space="preserve"> automatizované individuálne rozhodovanie vrátane profilovania sa nevykonáva. </w:t>
      </w:r>
    </w:p>
    <w:p w14:paraId="3C8D07E4" w14:textId="4079E085" w:rsidR="00C80A38" w:rsidRPr="00D34982" w:rsidRDefault="00C80A38" w:rsidP="00D11A29">
      <w:pPr>
        <w:spacing w:after="0"/>
        <w:jc w:val="both"/>
        <w:rPr>
          <w:rFonts w:ascii="Times" w:hAnsi="Times" w:cs="Times New Roman"/>
        </w:rPr>
      </w:pPr>
    </w:p>
    <w:sectPr w:rsidR="00C80A38" w:rsidRPr="00D34982" w:rsidSect="00BE0B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30D7" w14:textId="77777777" w:rsidR="00BE0B8E" w:rsidRDefault="00BE0B8E" w:rsidP="00203DAC">
      <w:pPr>
        <w:spacing w:after="0" w:line="240" w:lineRule="auto"/>
      </w:pPr>
      <w:r>
        <w:separator/>
      </w:r>
    </w:p>
  </w:endnote>
  <w:endnote w:type="continuationSeparator" w:id="0">
    <w:p w14:paraId="28268CEA" w14:textId="77777777" w:rsidR="00BE0B8E" w:rsidRDefault="00BE0B8E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02C6" w14:textId="77777777" w:rsidR="00BE0B8E" w:rsidRDefault="00BE0B8E" w:rsidP="00203DAC">
      <w:pPr>
        <w:spacing w:after="0" w:line="240" w:lineRule="auto"/>
      </w:pPr>
      <w:r>
        <w:separator/>
      </w:r>
    </w:p>
  </w:footnote>
  <w:footnote w:type="continuationSeparator" w:id="0">
    <w:p w14:paraId="625DA308" w14:textId="77777777" w:rsidR="00BE0B8E" w:rsidRDefault="00BE0B8E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8435">
    <w:abstractNumId w:val="0"/>
  </w:num>
  <w:num w:numId="2" w16cid:durableId="15409766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04CEE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3E46"/>
    <w:rsid w:val="002C5B0A"/>
    <w:rsid w:val="002F40B3"/>
    <w:rsid w:val="00311510"/>
    <w:rsid w:val="003247FB"/>
    <w:rsid w:val="00351081"/>
    <w:rsid w:val="003724CD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3E2"/>
    <w:rsid w:val="00497B2B"/>
    <w:rsid w:val="004A0115"/>
    <w:rsid w:val="004F3ED9"/>
    <w:rsid w:val="005074F3"/>
    <w:rsid w:val="00517E01"/>
    <w:rsid w:val="005211D1"/>
    <w:rsid w:val="00592262"/>
    <w:rsid w:val="00596723"/>
    <w:rsid w:val="005968A8"/>
    <w:rsid w:val="005A4512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03DF7"/>
    <w:rsid w:val="007110AE"/>
    <w:rsid w:val="00737E90"/>
    <w:rsid w:val="00742EB0"/>
    <w:rsid w:val="00764354"/>
    <w:rsid w:val="00785976"/>
    <w:rsid w:val="007C4B5A"/>
    <w:rsid w:val="007E18B5"/>
    <w:rsid w:val="008031BE"/>
    <w:rsid w:val="00831C93"/>
    <w:rsid w:val="008375B3"/>
    <w:rsid w:val="00840E9F"/>
    <w:rsid w:val="00865848"/>
    <w:rsid w:val="00880281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D4A4A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C5276"/>
    <w:rsid w:val="00BE0B8E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A29"/>
    <w:rsid w:val="00D11CB5"/>
    <w:rsid w:val="00D2198B"/>
    <w:rsid w:val="00D2515A"/>
    <w:rsid w:val="00D275CF"/>
    <w:rsid w:val="00D34982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66BDE"/>
    <w:rsid w:val="00E9271A"/>
    <w:rsid w:val="00E96866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57</cp:revision>
  <dcterms:created xsi:type="dcterms:W3CDTF">2018-03-12T10:09:00Z</dcterms:created>
  <dcterms:modified xsi:type="dcterms:W3CDTF">2024-03-06T12:08:00Z</dcterms:modified>
</cp:coreProperties>
</file>